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FA9" w:rsidRDefault="00131FA9" w:rsidP="00131FA9">
      <w:pPr>
        <w:autoSpaceDE w:val="0"/>
        <w:autoSpaceDN w:val="0"/>
        <w:spacing w:after="0" w:line="240" w:lineRule="auto"/>
        <w:ind w:left="1410" w:firstLine="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Інформація</w:t>
      </w:r>
    </w:p>
    <w:p w:rsidR="00131FA9" w:rsidRDefault="00131FA9" w:rsidP="00131FA9">
      <w:pPr>
        <w:autoSpaceDE w:val="0"/>
        <w:autoSpaceDN w:val="0"/>
        <w:spacing w:after="0" w:line="240" w:lineRule="auto"/>
        <w:ind w:left="1410" w:firstLine="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стан </w:t>
      </w:r>
      <w:r w:rsidRPr="00061D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забезпечення безперешкодного доступу</w:t>
      </w:r>
    </w:p>
    <w:p w:rsidR="00131FA9" w:rsidRDefault="00131FA9" w:rsidP="00131FA9">
      <w:pPr>
        <w:autoSpaceDE w:val="0"/>
        <w:autoSpaceDN w:val="0"/>
        <w:spacing w:after="0" w:line="240" w:lineRule="auto"/>
        <w:ind w:left="1410" w:firstLine="6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061D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для осіб з обмеженими фізичними можливостями та інших </w:t>
      </w:r>
      <w:proofErr w:type="spellStart"/>
      <w:r w:rsidRPr="00061D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маломобільних</w:t>
      </w:r>
      <w:proofErr w:type="spellEnd"/>
      <w:r w:rsidRPr="00061D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груп населення </w:t>
      </w:r>
    </w:p>
    <w:p w:rsidR="00337094" w:rsidRPr="00203A14" w:rsidRDefault="00131FA9" w:rsidP="00131FA9">
      <w:pPr>
        <w:autoSpaceDE w:val="0"/>
        <w:autoSpaceDN w:val="0"/>
        <w:spacing w:after="0" w:line="240" w:lineRule="auto"/>
        <w:ind w:left="1410" w:firstLine="6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61D1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дільничних виборчих комісій та приміщень для голосування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03A14" w:rsidRPr="00203A14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*</w:t>
      </w:r>
    </w:p>
    <w:p w:rsidR="00131FA9" w:rsidRPr="00061D13" w:rsidRDefault="00131FA9" w:rsidP="00D710D2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732"/>
        <w:gridCol w:w="732"/>
        <w:gridCol w:w="733"/>
        <w:gridCol w:w="732"/>
        <w:gridCol w:w="732"/>
        <w:gridCol w:w="733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  <w:gridCol w:w="690"/>
      </w:tblGrid>
      <w:tr w:rsidR="00337094" w:rsidRPr="00131FA9" w:rsidTr="00337094">
        <w:tc>
          <w:tcPr>
            <w:tcW w:w="534" w:type="dxa"/>
            <w:vMerge w:val="restart"/>
            <w:vAlign w:val="center"/>
          </w:tcPr>
          <w:p w:rsidR="00337094" w:rsidRPr="009636D6" w:rsidRDefault="00337094" w:rsidP="003370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  <w:p w:rsidR="00337094" w:rsidRPr="009636D6" w:rsidRDefault="00337094" w:rsidP="003370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636D6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№</w:t>
            </w:r>
          </w:p>
          <w:p w:rsidR="00337094" w:rsidRPr="009636D6" w:rsidRDefault="00337094" w:rsidP="0033709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636D6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з/п</w:t>
            </w:r>
          </w:p>
        </w:tc>
        <w:tc>
          <w:tcPr>
            <w:tcW w:w="2268" w:type="dxa"/>
            <w:vMerge w:val="restart"/>
            <w:vAlign w:val="center"/>
          </w:tcPr>
          <w:p w:rsidR="00337094" w:rsidRPr="009636D6" w:rsidRDefault="00337094" w:rsidP="0033709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  <w:p w:rsidR="00337094" w:rsidRPr="009636D6" w:rsidRDefault="00337094" w:rsidP="00337094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636D6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Виборча дільниця</w:t>
            </w:r>
          </w:p>
          <w:p w:rsidR="00337094" w:rsidRPr="009636D6" w:rsidRDefault="00337094" w:rsidP="0033709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9636D6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(номер і адреса)</w:t>
            </w:r>
          </w:p>
        </w:tc>
        <w:tc>
          <w:tcPr>
            <w:tcW w:w="4394" w:type="dxa"/>
            <w:gridSpan w:val="6"/>
          </w:tcPr>
          <w:p w:rsidR="00337094" w:rsidRPr="009636D6" w:rsidRDefault="00337094" w:rsidP="00131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636D6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1. Доступність прилеглої території будівлі, </w:t>
            </w:r>
          </w:p>
          <w:p w:rsidR="00337094" w:rsidRPr="009636D6" w:rsidRDefault="00337094" w:rsidP="00131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636D6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у якій розміщена виборча дільниця</w:t>
            </w:r>
          </w:p>
          <w:p w:rsidR="00337094" w:rsidRPr="009636D6" w:rsidRDefault="00337094" w:rsidP="00131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636D6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за критеріями</w:t>
            </w:r>
          </w:p>
        </w:tc>
        <w:tc>
          <w:tcPr>
            <w:tcW w:w="7590" w:type="dxa"/>
            <w:gridSpan w:val="11"/>
          </w:tcPr>
          <w:p w:rsidR="00337094" w:rsidRPr="009636D6" w:rsidRDefault="00337094" w:rsidP="00131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636D6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2. Доступність приміщення, </w:t>
            </w:r>
          </w:p>
          <w:p w:rsidR="00337094" w:rsidRPr="009636D6" w:rsidRDefault="00337094" w:rsidP="00131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636D6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у якому розміщена виборча дільниця</w:t>
            </w:r>
          </w:p>
          <w:p w:rsidR="00337094" w:rsidRPr="009636D6" w:rsidRDefault="00337094" w:rsidP="00131FA9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9636D6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за критеріями</w:t>
            </w:r>
          </w:p>
        </w:tc>
      </w:tr>
      <w:tr w:rsidR="00337094" w:rsidRPr="00131FA9" w:rsidTr="003F17E0">
        <w:tc>
          <w:tcPr>
            <w:tcW w:w="534" w:type="dxa"/>
            <w:vMerge/>
          </w:tcPr>
          <w:p w:rsidR="00337094" w:rsidRPr="00131FA9" w:rsidRDefault="00337094" w:rsidP="00131FA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  <w:vMerge/>
          </w:tcPr>
          <w:p w:rsidR="00337094" w:rsidRPr="00131FA9" w:rsidRDefault="00337094" w:rsidP="00131FA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32" w:type="dxa"/>
          </w:tcPr>
          <w:p w:rsidR="00337094" w:rsidRPr="00131FA9" w:rsidRDefault="00337094" w:rsidP="00131FA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1.1</w:t>
            </w:r>
          </w:p>
        </w:tc>
        <w:tc>
          <w:tcPr>
            <w:tcW w:w="732" w:type="dxa"/>
          </w:tcPr>
          <w:p w:rsidR="00337094" w:rsidRPr="00131FA9" w:rsidRDefault="00337094" w:rsidP="00131FA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1.2</w:t>
            </w:r>
          </w:p>
        </w:tc>
        <w:tc>
          <w:tcPr>
            <w:tcW w:w="733" w:type="dxa"/>
          </w:tcPr>
          <w:p w:rsidR="00337094" w:rsidRPr="00131FA9" w:rsidRDefault="00337094" w:rsidP="00131FA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1.3</w:t>
            </w:r>
          </w:p>
        </w:tc>
        <w:tc>
          <w:tcPr>
            <w:tcW w:w="732" w:type="dxa"/>
          </w:tcPr>
          <w:p w:rsidR="00337094" w:rsidRPr="00131FA9" w:rsidRDefault="00337094" w:rsidP="00131FA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1.4</w:t>
            </w:r>
          </w:p>
        </w:tc>
        <w:tc>
          <w:tcPr>
            <w:tcW w:w="732" w:type="dxa"/>
          </w:tcPr>
          <w:p w:rsidR="00337094" w:rsidRPr="00131FA9" w:rsidRDefault="00337094" w:rsidP="00131FA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1.5</w:t>
            </w:r>
          </w:p>
        </w:tc>
        <w:tc>
          <w:tcPr>
            <w:tcW w:w="733" w:type="dxa"/>
          </w:tcPr>
          <w:p w:rsidR="00337094" w:rsidRPr="00131FA9" w:rsidRDefault="00337094" w:rsidP="00131FA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1.6</w:t>
            </w:r>
          </w:p>
        </w:tc>
        <w:tc>
          <w:tcPr>
            <w:tcW w:w="690" w:type="dxa"/>
          </w:tcPr>
          <w:p w:rsidR="00337094" w:rsidRPr="00131FA9" w:rsidRDefault="00337094" w:rsidP="00131FA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2.1</w:t>
            </w:r>
          </w:p>
        </w:tc>
        <w:tc>
          <w:tcPr>
            <w:tcW w:w="690" w:type="dxa"/>
          </w:tcPr>
          <w:p w:rsidR="00337094" w:rsidRPr="00131FA9" w:rsidRDefault="00337094" w:rsidP="00131FA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2.2</w:t>
            </w:r>
          </w:p>
        </w:tc>
        <w:tc>
          <w:tcPr>
            <w:tcW w:w="690" w:type="dxa"/>
          </w:tcPr>
          <w:p w:rsidR="00337094" w:rsidRPr="00131FA9" w:rsidRDefault="00337094" w:rsidP="00131FA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2.3</w:t>
            </w:r>
          </w:p>
        </w:tc>
        <w:tc>
          <w:tcPr>
            <w:tcW w:w="690" w:type="dxa"/>
          </w:tcPr>
          <w:p w:rsidR="00337094" w:rsidRPr="00131FA9" w:rsidRDefault="00337094" w:rsidP="00131FA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2.4</w:t>
            </w:r>
          </w:p>
        </w:tc>
        <w:tc>
          <w:tcPr>
            <w:tcW w:w="690" w:type="dxa"/>
          </w:tcPr>
          <w:p w:rsidR="00337094" w:rsidRPr="00131FA9" w:rsidRDefault="00337094" w:rsidP="00131FA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2.5</w:t>
            </w:r>
          </w:p>
        </w:tc>
        <w:tc>
          <w:tcPr>
            <w:tcW w:w="690" w:type="dxa"/>
          </w:tcPr>
          <w:p w:rsidR="00337094" w:rsidRPr="00131FA9" w:rsidRDefault="00337094" w:rsidP="00131FA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2.6</w:t>
            </w:r>
          </w:p>
        </w:tc>
        <w:tc>
          <w:tcPr>
            <w:tcW w:w="690" w:type="dxa"/>
          </w:tcPr>
          <w:p w:rsidR="00337094" w:rsidRPr="00131FA9" w:rsidRDefault="00337094" w:rsidP="00131FA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2.7</w:t>
            </w:r>
          </w:p>
        </w:tc>
        <w:tc>
          <w:tcPr>
            <w:tcW w:w="690" w:type="dxa"/>
          </w:tcPr>
          <w:p w:rsidR="00337094" w:rsidRPr="00131FA9" w:rsidRDefault="00337094" w:rsidP="00131FA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2.8</w:t>
            </w:r>
          </w:p>
        </w:tc>
        <w:tc>
          <w:tcPr>
            <w:tcW w:w="690" w:type="dxa"/>
          </w:tcPr>
          <w:p w:rsidR="00337094" w:rsidRPr="00131FA9" w:rsidRDefault="00337094" w:rsidP="00131FA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2.9</w:t>
            </w:r>
          </w:p>
        </w:tc>
        <w:tc>
          <w:tcPr>
            <w:tcW w:w="690" w:type="dxa"/>
          </w:tcPr>
          <w:p w:rsidR="00337094" w:rsidRPr="00131FA9" w:rsidRDefault="00337094" w:rsidP="00131FA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2.10</w:t>
            </w:r>
          </w:p>
        </w:tc>
        <w:tc>
          <w:tcPr>
            <w:tcW w:w="690" w:type="dxa"/>
          </w:tcPr>
          <w:p w:rsidR="00337094" w:rsidRPr="00131FA9" w:rsidRDefault="00337094" w:rsidP="00131FA9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2.11</w:t>
            </w:r>
          </w:p>
        </w:tc>
      </w:tr>
      <w:tr w:rsidR="00337094" w:rsidRPr="00B75B35" w:rsidTr="00D710D2">
        <w:trPr>
          <w:cantSplit/>
          <w:trHeight w:val="5163"/>
        </w:trPr>
        <w:tc>
          <w:tcPr>
            <w:tcW w:w="534" w:type="dxa"/>
            <w:vMerge/>
          </w:tcPr>
          <w:p w:rsidR="00337094" w:rsidRPr="00131FA9" w:rsidRDefault="00337094" w:rsidP="00131FA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  <w:vMerge/>
          </w:tcPr>
          <w:p w:rsidR="00337094" w:rsidRPr="00131FA9" w:rsidRDefault="00337094" w:rsidP="00131FA9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32" w:type="dxa"/>
            <w:textDirection w:val="btLr"/>
          </w:tcPr>
          <w:p w:rsidR="00337094" w:rsidRPr="003F17E0" w:rsidRDefault="00FE640C" w:rsidP="003F17E0">
            <w:pPr>
              <w:spacing w:line="168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1.1. </w:t>
            </w:r>
            <w:r w:rsidR="00337094" w:rsidRPr="003F17E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Шляхи до будівлі</w:t>
            </w:r>
          </w:p>
          <w:p w:rsidR="00337094" w:rsidRPr="008A0A05" w:rsidRDefault="00337094" w:rsidP="003F17E0">
            <w:pPr>
              <w:spacing w:line="168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 w:rsidRPr="008A0A05"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(відповідає /частково відповідає/не відповідає)</w:t>
            </w:r>
          </w:p>
        </w:tc>
        <w:tc>
          <w:tcPr>
            <w:tcW w:w="732" w:type="dxa"/>
            <w:textDirection w:val="btLr"/>
          </w:tcPr>
          <w:p w:rsidR="00203A14" w:rsidRDefault="00FE640C" w:rsidP="003F17E0">
            <w:pPr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1.2. </w:t>
            </w:r>
            <w:r w:rsidR="00337094" w:rsidRPr="003F17E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Наявність </w:t>
            </w:r>
            <w:r w:rsidR="00203A1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системи </w:t>
            </w:r>
            <w:r w:rsidR="00337094" w:rsidRPr="003F17E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засобів </w:t>
            </w:r>
          </w:p>
          <w:p w:rsidR="00337094" w:rsidRPr="003F17E0" w:rsidRDefault="00337094" w:rsidP="003F17E0">
            <w:pPr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 w:rsidRPr="003F17E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орі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єнтації та</w:t>
            </w:r>
            <w:r w:rsidRPr="003F17E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інформаційної підтримки</w:t>
            </w:r>
          </w:p>
          <w:p w:rsidR="00337094" w:rsidRPr="003F17E0" w:rsidRDefault="00337094" w:rsidP="003F17E0">
            <w:pPr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(відповідає/частково відповідає/не відповідає)</w:t>
            </w:r>
          </w:p>
        </w:tc>
        <w:tc>
          <w:tcPr>
            <w:tcW w:w="733" w:type="dxa"/>
            <w:textDirection w:val="btLr"/>
          </w:tcPr>
          <w:p w:rsidR="00203A14" w:rsidRDefault="00FE640C" w:rsidP="003F17E0">
            <w:pPr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1.3. </w:t>
            </w:r>
            <w:r w:rsidR="00203A1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Відповідність нормативам </w:t>
            </w:r>
          </w:p>
          <w:p w:rsidR="00337094" w:rsidRPr="003F17E0" w:rsidRDefault="00203A14" w:rsidP="00203A14">
            <w:pPr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ширини пішохідних доріжок до </w:t>
            </w:r>
            <w:r w:rsidR="00337094" w:rsidRPr="003F17E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будівлі</w:t>
            </w:r>
          </w:p>
          <w:p w:rsidR="00337094" w:rsidRPr="003F17E0" w:rsidRDefault="00337094" w:rsidP="003F17E0">
            <w:pPr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(відповідає/частково відповідає/не відповідає)</w:t>
            </w:r>
          </w:p>
        </w:tc>
        <w:tc>
          <w:tcPr>
            <w:tcW w:w="732" w:type="dxa"/>
            <w:textDirection w:val="btLr"/>
          </w:tcPr>
          <w:p w:rsidR="00203A14" w:rsidRDefault="00FE640C" w:rsidP="00FE640C">
            <w:pPr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1.4. </w:t>
            </w:r>
            <w:r w:rsidR="00337094" w:rsidRPr="003F17E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Місця безоплатного паркування</w:t>
            </w:r>
          </w:p>
          <w:p w:rsidR="00337094" w:rsidRDefault="00203A14" w:rsidP="003F17E0">
            <w:pPr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для осіб з інвалідністю</w:t>
            </w:r>
          </w:p>
          <w:p w:rsidR="00337094" w:rsidRPr="003F17E0" w:rsidRDefault="00337094" w:rsidP="003F17E0">
            <w:pPr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(відповідає/частково відповідає/не відповідає)</w:t>
            </w:r>
          </w:p>
        </w:tc>
        <w:tc>
          <w:tcPr>
            <w:tcW w:w="732" w:type="dxa"/>
            <w:textDirection w:val="btLr"/>
          </w:tcPr>
          <w:p w:rsidR="00337094" w:rsidRPr="003F17E0" w:rsidRDefault="00FE640C" w:rsidP="00FE640C">
            <w:pPr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1.5. </w:t>
            </w:r>
            <w:r w:rsidR="00203A1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Відповідність нормативам входу</w:t>
            </w:r>
            <w:r w:rsidR="00337094" w:rsidRPr="003F17E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на територію</w:t>
            </w:r>
          </w:p>
          <w:p w:rsidR="00337094" w:rsidRPr="003F17E0" w:rsidRDefault="00337094" w:rsidP="003F17E0">
            <w:pPr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(відповідає/частково відповідає/не відповідає)</w:t>
            </w:r>
          </w:p>
        </w:tc>
        <w:tc>
          <w:tcPr>
            <w:tcW w:w="733" w:type="dxa"/>
            <w:textDirection w:val="btLr"/>
          </w:tcPr>
          <w:p w:rsidR="00D710D2" w:rsidRDefault="00FE640C" w:rsidP="00FE640C">
            <w:pPr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1.6. </w:t>
            </w:r>
            <w:r w:rsidR="00337094" w:rsidRPr="007B490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Облаштування сходів (в разі наявності)</w:t>
            </w:r>
          </w:p>
          <w:p w:rsidR="00337094" w:rsidRPr="007B490D" w:rsidRDefault="00D710D2" w:rsidP="007B490D">
            <w:pPr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відповідно до нормативних вимог</w:t>
            </w:r>
          </w:p>
          <w:p w:rsidR="00337094" w:rsidRPr="003F17E0" w:rsidRDefault="00337094" w:rsidP="007B490D">
            <w:pPr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(відповідає/частково відповідає/не відповідає)</w:t>
            </w:r>
          </w:p>
        </w:tc>
        <w:tc>
          <w:tcPr>
            <w:tcW w:w="690" w:type="dxa"/>
            <w:textDirection w:val="btLr"/>
          </w:tcPr>
          <w:p w:rsidR="00337094" w:rsidRPr="007B490D" w:rsidRDefault="00FE640C" w:rsidP="007B490D">
            <w:pPr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2.1. </w:t>
            </w:r>
            <w:r w:rsidR="00D710D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Забезпечення д</w:t>
            </w:r>
            <w:r w:rsidR="0033709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оступ</w:t>
            </w:r>
            <w:r w:rsidR="00D710D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</w:t>
            </w:r>
            <w:r w:rsidR="0033709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до приміщення</w:t>
            </w:r>
            <w:r w:rsidR="00337094" w:rsidRPr="007B490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дільниці у разі розташування вище </w:t>
            </w:r>
            <w:r w:rsidR="0033709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1-го</w:t>
            </w:r>
            <w:r w:rsidR="00337094" w:rsidRPr="007B490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поверху</w:t>
            </w:r>
          </w:p>
          <w:p w:rsidR="00337094" w:rsidRPr="003F17E0" w:rsidRDefault="00337094" w:rsidP="009636D6">
            <w:pPr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(відповідає/частково відповідає/не відповідає)</w:t>
            </w:r>
          </w:p>
        </w:tc>
        <w:tc>
          <w:tcPr>
            <w:tcW w:w="690" w:type="dxa"/>
            <w:textDirection w:val="btLr"/>
          </w:tcPr>
          <w:p w:rsidR="00337094" w:rsidRPr="007B490D" w:rsidRDefault="00FE640C" w:rsidP="007B490D">
            <w:pPr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2.2. </w:t>
            </w:r>
            <w:r w:rsidR="00337094" w:rsidRPr="007B490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Відповідність </w:t>
            </w:r>
            <w:r w:rsidR="00D710D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приміщень </w:t>
            </w:r>
            <w:r w:rsidR="009636D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санітарним,</w:t>
            </w:r>
            <w:r w:rsidR="00337094" w:rsidRPr="007B490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протипожежним</w:t>
            </w:r>
            <w:r w:rsidR="00D710D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, будівельним </w:t>
            </w:r>
            <w:r w:rsidR="00337094" w:rsidRPr="007B490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нормам щодо доступності</w:t>
            </w:r>
          </w:p>
          <w:p w:rsidR="00337094" w:rsidRPr="003F17E0" w:rsidRDefault="00337094" w:rsidP="007B490D">
            <w:pPr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(відповідає/частково відповідає/не відповідає)</w:t>
            </w:r>
          </w:p>
        </w:tc>
        <w:tc>
          <w:tcPr>
            <w:tcW w:w="690" w:type="dxa"/>
            <w:textDirection w:val="btLr"/>
          </w:tcPr>
          <w:p w:rsidR="00337094" w:rsidRPr="007B490D" w:rsidRDefault="00FE640C" w:rsidP="007B490D">
            <w:pPr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2.3 </w:t>
            </w:r>
            <w:r w:rsidR="00337094" w:rsidRPr="007B490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Обладнання і маркування сходів</w:t>
            </w:r>
            <w:r w:rsidR="00D710D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на шляху до приміщень голосування</w:t>
            </w:r>
          </w:p>
          <w:p w:rsidR="00337094" w:rsidRPr="003F17E0" w:rsidRDefault="00337094" w:rsidP="007B490D">
            <w:pPr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(відповідає/частково відповідає/не відповідає)</w:t>
            </w:r>
          </w:p>
        </w:tc>
        <w:tc>
          <w:tcPr>
            <w:tcW w:w="690" w:type="dxa"/>
            <w:textDirection w:val="btLr"/>
          </w:tcPr>
          <w:p w:rsidR="00337094" w:rsidRPr="008A6E70" w:rsidRDefault="00FE640C" w:rsidP="007B490D">
            <w:pPr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2.4 </w:t>
            </w:r>
            <w:r w:rsidR="00D710D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Відповідність шляхів руху нормативним вимогам (відсутність предм</w:t>
            </w:r>
            <w:r w:rsidR="009636D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етів-перепон,</w:t>
            </w:r>
            <w:r w:rsidR="00D710D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наявність пандусів, тощо</w:t>
            </w:r>
            <w:r w:rsidR="00337094" w:rsidRPr="008A6E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)</w:t>
            </w:r>
          </w:p>
          <w:p w:rsidR="00337094" w:rsidRPr="003F17E0" w:rsidRDefault="00337094" w:rsidP="007B490D">
            <w:pPr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(відповідає/частково відповідає/не відповідає)</w:t>
            </w:r>
          </w:p>
        </w:tc>
        <w:tc>
          <w:tcPr>
            <w:tcW w:w="690" w:type="dxa"/>
            <w:textDirection w:val="btLr"/>
          </w:tcPr>
          <w:p w:rsidR="00337094" w:rsidRPr="008A6E70" w:rsidRDefault="00FE640C" w:rsidP="007B490D">
            <w:pPr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2.5 </w:t>
            </w:r>
            <w:r w:rsidR="00D710D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Відповідність</w:t>
            </w:r>
            <w:r w:rsidR="00337094" w:rsidRPr="008A6E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дверей і турнікетів</w:t>
            </w:r>
            <w:r w:rsidR="00D710D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нормативним вимогам</w:t>
            </w:r>
          </w:p>
          <w:p w:rsidR="00337094" w:rsidRPr="003F17E0" w:rsidRDefault="00337094" w:rsidP="007B490D">
            <w:pPr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(відповідає/частково відповідає/не відповідає)</w:t>
            </w:r>
          </w:p>
        </w:tc>
        <w:tc>
          <w:tcPr>
            <w:tcW w:w="690" w:type="dxa"/>
            <w:textDirection w:val="btLr"/>
          </w:tcPr>
          <w:p w:rsidR="009636D6" w:rsidRDefault="00FE640C" w:rsidP="007B490D">
            <w:pPr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2.6 </w:t>
            </w:r>
            <w:r w:rsidR="00D710D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Забезпеченість</w:t>
            </w:r>
            <w:r w:rsidR="00337094" w:rsidRPr="008A6E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санвузлами</w:t>
            </w:r>
            <w:r w:rsidR="00D710D2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, </w:t>
            </w:r>
          </w:p>
          <w:p w:rsidR="00337094" w:rsidRPr="008A6E70" w:rsidRDefault="00D710D2" w:rsidP="007B490D">
            <w:pPr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що відповідають нормативним вимогам</w:t>
            </w:r>
          </w:p>
          <w:p w:rsidR="00337094" w:rsidRPr="003F17E0" w:rsidRDefault="00337094" w:rsidP="007B490D">
            <w:pPr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(відповідає/частково відповідає/не відповідає)</w:t>
            </w:r>
          </w:p>
        </w:tc>
        <w:tc>
          <w:tcPr>
            <w:tcW w:w="690" w:type="dxa"/>
            <w:textDirection w:val="btLr"/>
          </w:tcPr>
          <w:p w:rsidR="00337094" w:rsidRPr="008A6E70" w:rsidRDefault="00FE640C" w:rsidP="009636D6">
            <w:pPr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2.7 </w:t>
            </w:r>
            <w:r w:rsidR="009636D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Відповідність якості штучного</w:t>
            </w:r>
            <w:r w:rsidR="00337094" w:rsidRPr="008A6E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освітлення </w:t>
            </w:r>
            <w:r w:rsidR="009636D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критеріям доступності</w:t>
            </w:r>
          </w:p>
          <w:p w:rsidR="00337094" w:rsidRPr="003F17E0" w:rsidRDefault="00337094" w:rsidP="007B490D">
            <w:pPr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(відповідає/частково відповідає/не відповідає)</w:t>
            </w:r>
          </w:p>
        </w:tc>
        <w:tc>
          <w:tcPr>
            <w:tcW w:w="690" w:type="dxa"/>
            <w:textDirection w:val="btLr"/>
          </w:tcPr>
          <w:p w:rsidR="00337094" w:rsidRPr="008A6E70" w:rsidRDefault="00FE640C" w:rsidP="007B490D">
            <w:pPr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2.8. </w:t>
            </w:r>
            <w:r w:rsidR="009636D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Відповідність засобів</w:t>
            </w:r>
            <w:r w:rsidR="00337094" w:rsidRPr="008A6E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навігації, безпеки та отримання інформації </w:t>
            </w:r>
            <w:r w:rsidR="009636D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нормативним вимогам</w:t>
            </w:r>
          </w:p>
          <w:p w:rsidR="00337094" w:rsidRPr="003F17E0" w:rsidRDefault="00337094" w:rsidP="007B490D">
            <w:pPr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(відповідає/частково відповідає/не відповідає)</w:t>
            </w:r>
          </w:p>
        </w:tc>
        <w:tc>
          <w:tcPr>
            <w:tcW w:w="690" w:type="dxa"/>
            <w:textDirection w:val="btLr"/>
          </w:tcPr>
          <w:p w:rsidR="00337094" w:rsidRPr="008A6E70" w:rsidRDefault="00FE640C" w:rsidP="007B490D">
            <w:pPr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2.9 </w:t>
            </w:r>
            <w:r w:rsidR="009636D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Наявність п</w:t>
            </w:r>
            <w:r w:rsidR="00337094" w:rsidRPr="008A6E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лан</w:t>
            </w:r>
            <w:r w:rsidR="009636D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у/схеми</w:t>
            </w:r>
            <w:r w:rsidR="00337094" w:rsidRPr="008A6E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навігації на вході/виході</w:t>
            </w:r>
            <w:r w:rsidR="009636D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будівлі</w:t>
            </w:r>
          </w:p>
          <w:p w:rsidR="00337094" w:rsidRPr="003F17E0" w:rsidRDefault="00337094" w:rsidP="007B490D">
            <w:pPr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(відповідає/частково відповідає/не відповідає)</w:t>
            </w:r>
          </w:p>
        </w:tc>
        <w:tc>
          <w:tcPr>
            <w:tcW w:w="690" w:type="dxa"/>
            <w:textDirection w:val="btLr"/>
          </w:tcPr>
          <w:p w:rsidR="00337094" w:rsidRPr="008A6E70" w:rsidRDefault="00FE640C" w:rsidP="00FE640C">
            <w:pPr>
              <w:spacing w:line="192" w:lineRule="auto"/>
              <w:ind w:lef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2.10. </w:t>
            </w:r>
            <w:r w:rsidR="00337094" w:rsidRPr="008A6E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Наявність</w:t>
            </w:r>
            <w:r w:rsidR="009636D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="00337094" w:rsidRPr="008A6E70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позначок </w:t>
            </w:r>
            <w:r w:rsidR="00DF288D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(</w:t>
            </w:r>
            <w:r w:rsidR="009636D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міжнародного знаку доступності)</w:t>
            </w:r>
          </w:p>
          <w:p w:rsidR="00337094" w:rsidRPr="003F17E0" w:rsidRDefault="00337094" w:rsidP="007B490D">
            <w:pPr>
              <w:spacing w:line="192" w:lineRule="auto"/>
              <w:ind w:left="113" w:right="113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(відповідає/частково відповідає/не відповідає)</w:t>
            </w:r>
          </w:p>
        </w:tc>
        <w:tc>
          <w:tcPr>
            <w:tcW w:w="690" w:type="dxa"/>
            <w:textDirection w:val="btLr"/>
          </w:tcPr>
          <w:p w:rsidR="00337094" w:rsidRPr="00337094" w:rsidRDefault="00FE640C" w:rsidP="00FE640C">
            <w:pPr>
              <w:spacing w:line="19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2.11 </w:t>
            </w:r>
            <w:r w:rsidR="009636D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Наявність у приміщенні</w:t>
            </w:r>
            <w:r w:rsidR="00337094" w:rsidRPr="0033709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 </w:t>
            </w:r>
            <w:r w:rsidR="009636D6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 xml:space="preserve">облаштованих </w:t>
            </w:r>
            <w:r w:rsidR="00337094" w:rsidRPr="00337094">
              <w:rPr>
                <w:rFonts w:ascii="Times New Roman" w:hAnsi="Times New Roman" w:cs="Times New Roman"/>
                <w:b/>
                <w:sz w:val="18"/>
                <w:szCs w:val="18"/>
                <w:lang w:val="uk-UA"/>
              </w:rPr>
              <w:t>місць для сидіння</w:t>
            </w:r>
          </w:p>
          <w:p w:rsidR="00337094" w:rsidRPr="003F17E0" w:rsidRDefault="00337094" w:rsidP="00FE640C">
            <w:pPr>
              <w:spacing w:line="192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uk-U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uk-UA"/>
              </w:rPr>
              <w:t>(відповідає/частково відповідає/не відповідає)</w:t>
            </w:r>
          </w:p>
        </w:tc>
      </w:tr>
      <w:tr w:rsidR="00337094" w:rsidRPr="00131FA9" w:rsidTr="00337094">
        <w:tc>
          <w:tcPr>
            <w:tcW w:w="534" w:type="dxa"/>
            <w:vAlign w:val="center"/>
          </w:tcPr>
          <w:p w:rsidR="00337094" w:rsidRPr="00131FA9" w:rsidRDefault="00337094" w:rsidP="0033709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</w:t>
            </w:r>
          </w:p>
        </w:tc>
        <w:tc>
          <w:tcPr>
            <w:tcW w:w="2268" w:type="dxa"/>
            <w:vAlign w:val="center"/>
          </w:tcPr>
          <w:p w:rsidR="00337094" w:rsidRPr="00131FA9" w:rsidRDefault="00337094" w:rsidP="0033709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2</w:t>
            </w:r>
          </w:p>
        </w:tc>
        <w:tc>
          <w:tcPr>
            <w:tcW w:w="732" w:type="dxa"/>
            <w:vAlign w:val="center"/>
          </w:tcPr>
          <w:p w:rsidR="00337094" w:rsidRPr="00131FA9" w:rsidRDefault="00337094" w:rsidP="0033709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3</w:t>
            </w:r>
          </w:p>
        </w:tc>
        <w:tc>
          <w:tcPr>
            <w:tcW w:w="732" w:type="dxa"/>
            <w:vAlign w:val="center"/>
          </w:tcPr>
          <w:p w:rsidR="00337094" w:rsidRPr="00131FA9" w:rsidRDefault="00337094" w:rsidP="0033709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4</w:t>
            </w:r>
          </w:p>
        </w:tc>
        <w:tc>
          <w:tcPr>
            <w:tcW w:w="733" w:type="dxa"/>
            <w:vAlign w:val="center"/>
          </w:tcPr>
          <w:p w:rsidR="00337094" w:rsidRPr="00131FA9" w:rsidRDefault="00337094" w:rsidP="0033709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5</w:t>
            </w:r>
          </w:p>
        </w:tc>
        <w:tc>
          <w:tcPr>
            <w:tcW w:w="732" w:type="dxa"/>
            <w:vAlign w:val="center"/>
          </w:tcPr>
          <w:p w:rsidR="00337094" w:rsidRPr="00131FA9" w:rsidRDefault="00337094" w:rsidP="0033709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6</w:t>
            </w:r>
          </w:p>
        </w:tc>
        <w:tc>
          <w:tcPr>
            <w:tcW w:w="732" w:type="dxa"/>
            <w:vAlign w:val="center"/>
          </w:tcPr>
          <w:p w:rsidR="00337094" w:rsidRPr="00131FA9" w:rsidRDefault="00337094" w:rsidP="0033709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7</w:t>
            </w:r>
          </w:p>
        </w:tc>
        <w:tc>
          <w:tcPr>
            <w:tcW w:w="733" w:type="dxa"/>
            <w:vAlign w:val="center"/>
          </w:tcPr>
          <w:p w:rsidR="00337094" w:rsidRPr="00131FA9" w:rsidRDefault="00337094" w:rsidP="0033709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8</w:t>
            </w:r>
          </w:p>
        </w:tc>
        <w:tc>
          <w:tcPr>
            <w:tcW w:w="690" w:type="dxa"/>
            <w:vAlign w:val="center"/>
          </w:tcPr>
          <w:p w:rsidR="00337094" w:rsidRPr="00131FA9" w:rsidRDefault="00337094" w:rsidP="0033709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9</w:t>
            </w:r>
          </w:p>
        </w:tc>
        <w:tc>
          <w:tcPr>
            <w:tcW w:w="690" w:type="dxa"/>
            <w:vAlign w:val="center"/>
          </w:tcPr>
          <w:p w:rsidR="00337094" w:rsidRPr="00131FA9" w:rsidRDefault="00337094" w:rsidP="0033709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10</w:t>
            </w:r>
          </w:p>
        </w:tc>
        <w:tc>
          <w:tcPr>
            <w:tcW w:w="690" w:type="dxa"/>
            <w:vAlign w:val="center"/>
          </w:tcPr>
          <w:p w:rsidR="00337094" w:rsidRPr="00131FA9" w:rsidRDefault="00337094" w:rsidP="0033709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11</w:t>
            </w:r>
          </w:p>
        </w:tc>
        <w:tc>
          <w:tcPr>
            <w:tcW w:w="690" w:type="dxa"/>
            <w:vAlign w:val="center"/>
          </w:tcPr>
          <w:p w:rsidR="00337094" w:rsidRPr="00131FA9" w:rsidRDefault="00337094" w:rsidP="0033709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12</w:t>
            </w:r>
          </w:p>
        </w:tc>
        <w:tc>
          <w:tcPr>
            <w:tcW w:w="690" w:type="dxa"/>
            <w:vAlign w:val="center"/>
          </w:tcPr>
          <w:p w:rsidR="00337094" w:rsidRPr="00131FA9" w:rsidRDefault="00337094" w:rsidP="0033709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13</w:t>
            </w:r>
          </w:p>
        </w:tc>
        <w:tc>
          <w:tcPr>
            <w:tcW w:w="690" w:type="dxa"/>
            <w:vAlign w:val="center"/>
          </w:tcPr>
          <w:p w:rsidR="00337094" w:rsidRPr="00131FA9" w:rsidRDefault="00337094" w:rsidP="0033709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14</w:t>
            </w:r>
          </w:p>
        </w:tc>
        <w:tc>
          <w:tcPr>
            <w:tcW w:w="690" w:type="dxa"/>
            <w:vAlign w:val="center"/>
          </w:tcPr>
          <w:p w:rsidR="00337094" w:rsidRPr="00131FA9" w:rsidRDefault="00337094" w:rsidP="0033709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15</w:t>
            </w:r>
          </w:p>
        </w:tc>
        <w:tc>
          <w:tcPr>
            <w:tcW w:w="690" w:type="dxa"/>
            <w:vAlign w:val="center"/>
          </w:tcPr>
          <w:p w:rsidR="00337094" w:rsidRPr="00131FA9" w:rsidRDefault="00337094" w:rsidP="0033709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16</w:t>
            </w:r>
          </w:p>
        </w:tc>
        <w:tc>
          <w:tcPr>
            <w:tcW w:w="690" w:type="dxa"/>
            <w:vAlign w:val="center"/>
          </w:tcPr>
          <w:p w:rsidR="00337094" w:rsidRPr="00131FA9" w:rsidRDefault="00337094" w:rsidP="0033709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17</w:t>
            </w:r>
          </w:p>
        </w:tc>
        <w:tc>
          <w:tcPr>
            <w:tcW w:w="690" w:type="dxa"/>
            <w:vAlign w:val="center"/>
          </w:tcPr>
          <w:p w:rsidR="00337094" w:rsidRPr="00131FA9" w:rsidRDefault="00337094" w:rsidP="0033709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18</w:t>
            </w:r>
          </w:p>
        </w:tc>
        <w:tc>
          <w:tcPr>
            <w:tcW w:w="690" w:type="dxa"/>
            <w:vAlign w:val="center"/>
          </w:tcPr>
          <w:p w:rsidR="00337094" w:rsidRDefault="00337094" w:rsidP="0033709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337094" w:rsidRDefault="00337094" w:rsidP="00337094">
            <w:pPr>
              <w:jc w:val="center"/>
              <w:rPr>
                <w:sz w:val="16"/>
                <w:szCs w:val="16"/>
                <w:lang w:val="uk-UA"/>
              </w:rPr>
            </w:pPr>
            <w:r>
              <w:rPr>
                <w:sz w:val="16"/>
                <w:szCs w:val="16"/>
                <w:lang w:val="uk-UA"/>
              </w:rPr>
              <w:t>19</w:t>
            </w:r>
          </w:p>
          <w:p w:rsidR="00337094" w:rsidRPr="00131FA9" w:rsidRDefault="00337094" w:rsidP="0033709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37094" w:rsidRPr="00131FA9" w:rsidTr="00337094">
        <w:tc>
          <w:tcPr>
            <w:tcW w:w="534" w:type="dxa"/>
            <w:vAlign w:val="center"/>
          </w:tcPr>
          <w:p w:rsidR="00337094" w:rsidRDefault="00337094" w:rsidP="0033709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2268" w:type="dxa"/>
            <w:vAlign w:val="center"/>
          </w:tcPr>
          <w:p w:rsidR="00337094" w:rsidRDefault="00337094" w:rsidP="0033709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32" w:type="dxa"/>
            <w:vAlign w:val="center"/>
          </w:tcPr>
          <w:p w:rsidR="00337094" w:rsidRDefault="00337094" w:rsidP="0033709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32" w:type="dxa"/>
            <w:vAlign w:val="center"/>
          </w:tcPr>
          <w:p w:rsidR="00337094" w:rsidRDefault="00337094" w:rsidP="0033709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33" w:type="dxa"/>
            <w:vAlign w:val="center"/>
          </w:tcPr>
          <w:p w:rsidR="00337094" w:rsidRDefault="00337094" w:rsidP="0033709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32" w:type="dxa"/>
            <w:vAlign w:val="center"/>
          </w:tcPr>
          <w:p w:rsidR="00337094" w:rsidRDefault="00337094" w:rsidP="0033709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32" w:type="dxa"/>
            <w:vAlign w:val="center"/>
          </w:tcPr>
          <w:p w:rsidR="00337094" w:rsidRDefault="00337094" w:rsidP="0033709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733" w:type="dxa"/>
            <w:vAlign w:val="center"/>
          </w:tcPr>
          <w:p w:rsidR="00337094" w:rsidRDefault="00337094" w:rsidP="0033709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90" w:type="dxa"/>
            <w:vAlign w:val="center"/>
          </w:tcPr>
          <w:p w:rsidR="00337094" w:rsidRDefault="00337094" w:rsidP="0033709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90" w:type="dxa"/>
            <w:vAlign w:val="center"/>
          </w:tcPr>
          <w:p w:rsidR="00337094" w:rsidRDefault="00337094" w:rsidP="0033709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90" w:type="dxa"/>
            <w:vAlign w:val="center"/>
          </w:tcPr>
          <w:p w:rsidR="00337094" w:rsidRDefault="00337094" w:rsidP="0033709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33011" w:rsidRDefault="00133011" w:rsidP="00337094">
            <w:pPr>
              <w:jc w:val="center"/>
              <w:rPr>
                <w:sz w:val="16"/>
                <w:szCs w:val="16"/>
                <w:lang w:val="uk-UA"/>
              </w:rPr>
            </w:pPr>
          </w:p>
          <w:p w:rsidR="00133011" w:rsidRDefault="00133011" w:rsidP="0033709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90" w:type="dxa"/>
            <w:vAlign w:val="center"/>
          </w:tcPr>
          <w:p w:rsidR="00337094" w:rsidRDefault="00337094" w:rsidP="0033709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90" w:type="dxa"/>
            <w:vAlign w:val="center"/>
          </w:tcPr>
          <w:p w:rsidR="00337094" w:rsidRDefault="00337094" w:rsidP="0033709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90" w:type="dxa"/>
            <w:vAlign w:val="center"/>
          </w:tcPr>
          <w:p w:rsidR="00337094" w:rsidRDefault="00337094" w:rsidP="0033709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90" w:type="dxa"/>
            <w:vAlign w:val="center"/>
          </w:tcPr>
          <w:p w:rsidR="00337094" w:rsidRDefault="00337094" w:rsidP="0033709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90" w:type="dxa"/>
            <w:vAlign w:val="center"/>
          </w:tcPr>
          <w:p w:rsidR="00337094" w:rsidRDefault="00337094" w:rsidP="0033709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90" w:type="dxa"/>
            <w:vAlign w:val="center"/>
          </w:tcPr>
          <w:p w:rsidR="00337094" w:rsidRDefault="00337094" w:rsidP="0033709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90" w:type="dxa"/>
            <w:vAlign w:val="center"/>
          </w:tcPr>
          <w:p w:rsidR="00337094" w:rsidRDefault="00337094" w:rsidP="00337094">
            <w:pPr>
              <w:jc w:val="center"/>
              <w:rPr>
                <w:sz w:val="16"/>
                <w:szCs w:val="16"/>
                <w:lang w:val="uk-UA"/>
              </w:rPr>
            </w:pPr>
          </w:p>
        </w:tc>
        <w:tc>
          <w:tcPr>
            <w:tcW w:w="690" w:type="dxa"/>
            <w:vAlign w:val="center"/>
          </w:tcPr>
          <w:p w:rsidR="00337094" w:rsidRDefault="00337094" w:rsidP="00337094">
            <w:pPr>
              <w:jc w:val="center"/>
              <w:rPr>
                <w:sz w:val="16"/>
                <w:szCs w:val="16"/>
                <w:lang w:val="uk-UA"/>
              </w:rPr>
            </w:pPr>
          </w:p>
        </w:tc>
      </w:tr>
      <w:tr w:rsidR="00337094" w:rsidRPr="00131FA9" w:rsidTr="00F57F50">
        <w:trPr>
          <w:cantSplit/>
          <w:trHeight w:val="2688"/>
        </w:trPr>
        <w:tc>
          <w:tcPr>
            <w:tcW w:w="534" w:type="dxa"/>
            <w:shd w:val="clear" w:color="auto" w:fill="92D050"/>
            <w:textDirection w:val="btLr"/>
            <w:vAlign w:val="center"/>
          </w:tcPr>
          <w:p w:rsidR="00337094" w:rsidRPr="00F57F50" w:rsidRDefault="00F57F50" w:rsidP="00F57F50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w:r w:rsidRPr="00F57F50">
              <w:rPr>
                <w:b/>
                <w:sz w:val="16"/>
                <w:szCs w:val="16"/>
                <w:lang w:val="uk-UA"/>
              </w:rPr>
              <w:lastRenderedPageBreak/>
              <w:t>Разом</w:t>
            </w:r>
          </w:p>
        </w:tc>
        <w:tc>
          <w:tcPr>
            <w:tcW w:w="2268" w:type="dxa"/>
            <w:shd w:val="clear" w:color="auto" w:fill="92D050"/>
            <w:vAlign w:val="center"/>
          </w:tcPr>
          <w:p w:rsidR="00337094" w:rsidRPr="00133011" w:rsidRDefault="00F57F50" w:rsidP="00F57F50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З</w:t>
            </w:r>
            <w:r w:rsidR="00133011" w:rsidRPr="0013301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агальна кількість об’єктів 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(</w:t>
            </w:r>
            <w:r w:rsidR="00133011" w:rsidRPr="00133011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в одиницях</w:t>
            </w: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)</w:t>
            </w:r>
          </w:p>
        </w:tc>
        <w:tc>
          <w:tcPr>
            <w:tcW w:w="732" w:type="dxa"/>
            <w:shd w:val="clear" w:color="auto" w:fill="92D050"/>
            <w:textDirection w:val="btLr"/>
            <w:vAlign w:val="center"/>
          </w:tcPr>
          <w:p w:rsidR="00F57F50" w:rsidRDefault="00133011" w:rsidP="001330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11099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В</w:t>
            </w:r>
            <w:r w:rsidR="00F57F50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ідповідність за </w:t>
            </w:r>
            <w:r w:rsidR="00374CAD" w:rsidRPr="0011099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>критерієм</w:t>
            </w:r>
          </w:p>
          <w:p w:rsidR="00F57F50" w:rsidRDefault="00E64C04" w:rsidP="001330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у</w:t>
            </w:r>
            <w:r w:rsidR="00374CAD" w:rsidRPr="0011099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%</w:t>
            </w:r>
          </w:p>
          <w:p w:rsidR="00337094" w:rsidRPr="00110997" w:rsidRDefault="00374CAD" w:rsidP="001330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  <w:r w:rsidRPr="0011099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від загальної кількості</w:t>
            </w:r>
            <w:r w:rsidR="00110997" w:rsidRPr="00110997"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  <w:t xml:space="preserve"> об’єктів</w:t>
            </w:r>
          </w:p>
        </w:tc>
        <w:tc>
          <w:tcPr>
            <w:tcW w:w="732" w:type="dxa"/>
            <w:shd w:val="clear" w:color="auto" w:fill="92D050"/>
            <w:textDirection w:val="btLr"/>
            <w:vAlign w:val="center"/>
          </w:tcPr>
          <w:p w:rsidR="00337094" w:rsidRPr="00110997" w:rsidRDefault="00110997" w:rsidP="00374CAD">
            <w:pPr>
              <w:ind w:left="113" w:right="113"/>
              <w:rPr>
                <w:b/>
                <w:sz w:val="16"/>
                <w:szCs w:val="16"/>
                <w:lang w:val="uk-U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6"/>
                    <w:szCs w:val="16"/>
                    <w:lang w:val="uk-UA"/>
                  </w:rPr>
                  <m:t>-"-</m:t>
                </m:r>
              </m:oMath>
            </m:oMathPara>
          </w:p>
        </w:tc>
        <w:tc>
          <w:tcPr>
            <w:tcW w:w="733" w:type="dxa"/>
            <w:shd w:val="clear" w:color="auto" w:fill="92D050"/>
            <w:textDirection w:val="btLr"/>
            <w:vAlign w:val="center"/>
          </w:tcPr>
          <w:p w:rsidR="00337094" w:rsidRPr="00110997" w:rsidRDefault="00110997" w:rsidP="00374CAD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6"/>
                    <w:szCs w:val="16"/>
                    <w:lang w:val="uk-UA"/>
                  </w:rPr>
                  <m:t>-"-</m:t>
                </m:r>
              </m:oMath>
            </m:oMathPara>
          </w:p>
        </w:tc>
        <w:tc>
          <w:tcPr>
            <w:tcW w:w="732" w:type="dxa"/>
            <w:shd w:val="clear" w:color="auto" w:fill="92D050"/>
            <w:textDirection w:val="btLr"/>
            <w:vAlign w:val="center"/>
          </w:tcPr>
          <w:p w:rsidR="00337094" w:rsidRPr="00110997" w:rsidRDefault="00110997" w:rsidP="00374CAD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6"/>
                    <w:szCs w:val="16"/>
                    <w:lang w:val="uk-UA"/>
                  </w:rPr>
                  <m:t>-"-</m:t>
                </m:r>
              </m:oMath>
            </m:oMathPara>
          </w:p>
        </w:tc>
        <w:tc>
          <w:tcPr>
            <w:tcW w:w="732" w:type="dxa"/>
            <w:shd w:val="clear" w:color="auto" w:fill="92D050"/>
            <w:textDirection w:val="btLr"/>
            <w:vAlign w:val="center"/>
          </w:tcPr>
          <w:p w:rsidR="00337094" w:rsidRPr="00110997" w:rsidRDefault="00110997" w:rsidP="00374CAD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6"/>
                    <w:szCs w:val="16"/>
                    <w:lang w:val="uk-UA"/>
                  </w:rPr>
                  <m:t>-"-</m:t>
                </m:r>
              </m:oMath>
            </m:oMathPara>
          </w:p>
        </w:tc>
        <w:tc>
          <w:tcPr>
            <w:tcW w:w="733" w:type="dxa"/>
            <w:shd w:val="clear" w:color="auto" w:fill="92D050"/>
            <w:textDirection w:val="btLr"/>
            <w:vAlign w:val="center"/>
          </w:tcPr>
          <w:p w:rsidR="00337094" w:rsidRPr="00110997" w:rsidRDefault="00110997" w:rsidP="00374CAD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6"/>
                    <w:szCs w:val="16"/>
                    <w:lang w:val="uk-UA"/>
                  </w:rPr>
                  <m:t>-"-</m:t>
                </m:r>
              </m:oMath>
            </m:oMathPara>
          </w:p>
        </w:tc>
        <w:tc>
          <w:tcPr>
            <w:tcW w:w="690" w:type="dxa"/>
            <w:shd w:val="clear" w:color="auto" w:fill="92D050"/>
            <w:textDirection w:val="btLr"/>
            <w:vAlign w:val="center"/>
          </w:tcPr>
          <w:p w:rsidR="00337094" w:rsidRPr="00110997" w:rsidRDefault="00110997" w:rsidP="00374CAD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6"/>
                    <w:szCs w:val="16"/>
                    <w:lang w:val="uk-UA"/>
                  </w:rPr>
                  <m:t>-"-</m:t>
                </m:r>
              </m:oMath>
            </m:oMathPara>
          </w:p>
        </w:tc>
        <w:tc>
          <w:tcPr>
            <w:tcW w:w="690" w:type="dxa"/>
            <w:shd w:val="clear" w:color="auto" w:fill="92D050"/>
            <w:textDirection w:val="btLr"/>
            <w:vAlign w:val="center"/>
          </w:tcPr>
          <w:p w:rsidR="00337094" w:rsidRPr="00110997" w:rsidRDefault="00110997" w:rsidP="00374CAD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6"/>
                    <w:szCs w:val="16"/>
                    <w:lang w:val="uk-UA"/>
                  </w:rPr>
                  <m:t>-"-</m:t>
                </m:r>
              </m:oMath>
            </m:oMathPara>
          </w:p>
        </w:tc>
        <w:tc>
          <w:tcPr>
            <w:tcW w:w="690" w:type="dxa"/>
            <w:shd w:val="clear" w:color="auto" w:fill="92D050"/>
            <w:textDirection w:val="btLr"/>
            <w:vAlign w:val="center"/>
          </w:tcPr>
          <w:p w:rsidR="00337094" w:rsidRPr="00110997" w:rsidRDefault="00110997" w:rsidP="00374CAD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6"/>
                    <w:szCs w:val="16"/>
                    <w:lang w:val="uk-UA"/>
                  </w:rPr>
                  <m:t>-"-</m:t>
                </m:r>
              </m:oMath>
            </m:oMathPara>
          </w:p>
        </w:tc>
        <w:tc>
          <w:tcPr>
            <w:tcW w:w="690" w:type="dxa"/>
            <w:shd w:val="clear" w:color="auto" w:fill="92D050"/>
            <w:textDirection w:val="btLr"/>
            <w:vAlign w:val="center"/>
          </w:tcPr>
          <w:p w:rsidR="00337094" w:rsidRPr="00110997" w:rsidRDefault="00110997" w:rsidP="00374CAD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6"/>
                    <w:szCs w:val="16"/>
                    <w:lang w:val="uk-UA"/>
                  </w:rPr>
                  <m:t>-"-</m:t>
                </m:r>
              </m:oMath>
            </m:oMathPara>
          </w:p>
        </w:tc>
        <w:tc>
          <w:tcPr>
            <w:tcW w:w="690" w:type="dxa"/>
            <w:shd w:val="clear" w:color="auto" w:fill="92D050"/>
            <w:textDirection w:val="btLr"/>
            <w:vAlign w:val="center"/>
          </w:tcPr>
          <w:p w:rsidR="00337094" w:rsidRPr="00110997" w:rsidRDefault="00110997" w:rsidP="00374CAD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6"/>
                    <w:szCs w:val="16"/>
                    <w:lang w:val="uk-UA"/>
                  </w:rPr>
                  <m:t>-"-</m:t>
                </m:r>
              </m:oMath>
            </m:oMathPara>
          </w:p>
        </w:tc>
        <w:tc>
          <w:tcPr>
            <w:tcW w:w="690" w:type="dxa"/>
            <w:shd w:val="clear" w:color="auto" w:fill="92D050"/>
            <w:textDirection w:val="btLr"/>
            <w:vAlign w:val="center"/>
          </w:tcPr>
          <w:p w:rsidR="00337094" w:rsidRPr="00110997" w:rsidRDefault="00110997" w:rsidP="00374CAD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6"/>
                    <w:szCs w:val="16"/>
                    <w:lang w:val="uk-UA"/>
                  </w:rPr>
                  <m:t>-"-</m:t>
                </m:r>
              </m:oMath>
            </m:oMathPara>
          </w:p>
        </w:tc>
        <w:tc>
          <w:tcPr>
            <w:tcW w:w="690" w:type="dxa"/>
            <w:shd w:val="clear" w:color="auto" w:fill="92D050"/>
            <w:textDirection w:val="btLr"/>
            <w:vAlign w:val="center"/>
          </w:tcPr>
          <w:p w:rsidR="00337094" w:rsidRPr="00110997" w:rsidRDefault="00110997" w:rsidP="00374CAD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6"/>
                    <w:szCs w:val="16"/>
                    <w:lang w:val="uk-UA"/>
                  </w:rPr>
                  <m:t>-"-</m:t>
                </m:r>
              </m:oMath>
            </m:oMathPara>
          </w:p>
        </w:tc>
        <w:tc>
          <w:tcPr>
            <w:tcW w:w="690" w:type="dxa"/>
            <w:shd w:val="clear" w:color="auto" w:fill="92D050"/>
            <w:textDirection w:val="btLr"/>
            <w:vAlign w:val="center"/>
          </w:tcPr>
          <w:p w:rsidR="00337094" w:rsidRPr="00110997" w:rsidRDefault="00110997" w:rsidP="00374CAD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6"/>
                    <w:szCs w:val="16"/>
                    <w:lang w:val="uk-UA"/>
                  </w:rPr>
                  <m:t>-"-</m:t>
                </m:r>
              </m:oMath>
            </m:oMathPara>
          </w:p>
        </w:tc>
        <w:tc>
          <w:tcPr>
            <w:tcW w:w="690" w:type="dxa"/>
            <w:shd w:val="clear" w:color="auto" w:fill="92D050"/>
            <w:textDirection w:val="btLr"/>
            <w:vAlign w:val="center"/>
          </w:tcPr>
          <w:p w:rsidR="00337094" w:rsidRPr="00110997" w:rsidRDefault="00110997" w:rsidP="00374CAD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6"/>
                    <w:szCs w:val="16"/>
                    <w:lang w:val="uk-UA"/>
                  </w:rPr>
                  <m:t>-"-</m:t>
                </m:r>
              </m:oMath>
            </m:oMathPara>
          </w:p>
        </w:tc>
        <w:tc>
          <w:tcPr>
            <w:tcW w:w="690" w:type="dxa"/>
            <w:shd w:val="clear" w:color="auto" w:fill="92D050"/>
            <w:textDirection w:val="btLr"/>
            <w:vAlign w:val="center"/>
          </w:tcPr>
          <w:p w:rsidR="00337094" w:rsidRPr="00110997" w:rsidRDefault="00110997" w:rsidP="00374CAD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6"/>
                    <w:szCs w:val="16"/>
                    <w:lang w:val="uk-UA"/>
                  </w:rPr>
                  <m:t>-"-</m:t>
                </m:r>
              </m:oMath>
            </m:oMathPara>
          </w:p>
        </w:tc>
        <w:tc>
          <w:tcPr>
            <w:tcW w:w="690" w:type="dxa"/>
            <w:shd w:val="clear" w:color="auto" w:fill="92D050"/>
            <w:textDirection w:val="btLr"/>
            <w:vAlign w:val="center"/>
          </w:tcPr>
          <w:p w:rsidR="00337094" w:rsidRPr="00110997" w:rsidRDefault="00110997" w:rsidP="00374CAD">
            <w:pPr>
              <w:ind w:left="113" w:right="113"/>
              <w:jc w:val="center"/>
              <w:rPr>
                <w:b/>
                <w:sz w:val="16"/>
                <w:szCs w:val="16"/>
                <w:lang w:val="uk-UA"/>
              </w:rPr>
            </w:pPr>
            <m:oMathPara>
              <m:oMath>
                <m:r>
                  <m:rPr>
                    <m:sty m:val="bi"/>
                  </m:rPr>
                  <w:rPr>
                    <w:rFonts w:ascii="Cambria Math" w:hAnsi="Cambria Math"/>
                    <w:sz w:val="16"/>
                    <w:szCs w:val="16"/>
                    <w:lang w:val="uk-UA"/>
                  </w:rPr>
                  <m:t>-"-</m:t>
                </m:r>
              </m:oMath>
            </m:oMathPara>
          </w:p>
        </w:tc>
      </w:tr>
    </w:tbl>
    <w:p w:rsidR="00FE640C" w:rsidRPr="00E45FC8" w:rsidRDefault="00203A14" w:rsidP="00FE6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5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*</w:t>
      </w:r>
      <w:r w:rsidRPr="00E45F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02BF" w:rsidRPr="00E45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критеріями</w:t>
      </w:r>
      <w:r w:rsidRPr="00E45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що викладені у додатку </w:t>
      </w:r>
    </w:p>
    <w:p w:rsidR="00FE640C" w:rsidRPr="00E45FC8" w:rsidRDefault="00203A14" w:rsidP="00FE640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5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листа Центральної виборчої комісії України </w:t>
      </w:r>
    </w:p>
    <w:p w:rsidR="00D61DEC" w:rsidRDefault="00203A14" w:rsidP="00D61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45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від 29.05.2020 №21-20-1251</w:t>
      </w:r>
      <w:r w:rsidR="006502BF" w:rsidRPr="00E45F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E45FC8" w:rsidRPr="00E45FC8" w:rsidRDefault="00E45FC8" w:rsidP="00D61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6502BF" w:rsidRDefault="00FE640C" w:rsidP="00D61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1D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▪ р</w:t>
      </w:r>
      <w:r w:rsidR="006502BF" w:rsidRPr="00D61D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озділ І: прилегла територія до будівлі, у якій </w:t>
      </w:r>
      <w:r w:rsidR="00D61DEC" w:rsidRPr="00D61D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розміщено звичайну виборчу дільницю</w:t>
      </w:r>
      <w:r w:rsidR="006502BF" w:rsidRPr="00D61D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901592" w:rsidRDefault="00FE640C" w:rsidP="00901592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Шляхи до будівлі і приміщень повинні забезпечувати можливість  безперешкодного пересування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маломобільних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груп населення відповідно до державних будівельних норм та стандартів (дорожнє покриття має бути без вибоїн, високих бордюрів та інших перешкод</w:t>
      </w:r>
      <w:r w:rsidR="00901592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 шляху від входу на територію до входу в приміщення звичайної виборчої дільниці тощо).</w:t>
      </w:r>
    </w:p>
    <w:p w:rsidR="00FE640C" w:rsidRDefault="00901592" w:rsidP="00901592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Система засобів орієнтації та інформаційної підтримки повинна бути упродовж усього шляху до будівлі, у якій розміщено звичайну виборчу дільницю, і відповідати державним будівельним нормам.</w:t>
      </w:r>
    </w:p>
    <w:p w:rsidR="00901592" w:rsidRDefault="00901592" w:rsidP="00901592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Ширина пішохідних доріжок до будівлі, де розміщено звичайну виборчу дільницю, із зустрічним рухом повинна бути не менше 1.8 м.</w:t>
      </w:r>
    </w:p>
    <w:p w:rsidR="00901592" w:rsidRDefault="00901592" w:rsidP="00901592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Місця для безоплатного паркування транспортних засобів, якими керують особи з інвалідністю або водії, які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перевозять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осіб з інвалідністю, мають бути максимально близько до входу в будівлю звичайної виборчої дільниці.</w:t>
      </w:r>
    </w:p>
    <w:p w:rsidR="00901592" w:rsidRDefault="00901592" w:rsidP="00885137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Вхід на прилеглу територію повинен давати змогу проїхати кріслу колісному. Ширина такого входу та ширина дверей, хвірток (у разі їх наявності) повинна бути не менше 90 см. У разі наявності турнікета його ширина має сягати не менше одного метра.</w:t>
      </w:r>
    </w:p>
    <w:p w:rsidR="00D61DEC" w:rsidRDefault="00901592" w:rsidP="00885137">
      <w:pPr>
        <w:pStyle w:val="a4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разі наявності на прилеглій території та/або шляху до будівлі</w:t>
      </w:r>
      <w:r w:rsidR="00D61D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у якій розміщено звичайну виборчу дільницю, сходів вони повинні бути: промарковані (ребра першої та останньої сходинок маркуються смугою абразивного </w:t>
      </w:r>
      <w:r w:rsidR="00D61D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матеріалу яскраво-жовтого кольору) та обладнані поруччям, а також </w:t>
      </w:r>
      <w:proofErr w:type="spellStart"/>
      <w:r w:rsidR="00D61D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продубльовані</w:t>
      </w:r>
      <w:proofErr w:type="spellEnd"/>
      <w:r w:rsidR="00D61D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пандусом з ухилом небільше 1:12 (8%), обладнані поруччям з обох боків на двох рівнях висотою 70 см і 90 см та неслизьким покриттям або облаштовані підйомником. </w:t>
      </w:r>
    </w:p>
    <w:p w:rsidR="001603AB" w:rsidRDefault="001603AB" w:rsidP="001603AB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D61DEC" w:rsidRDefault="00D61DEC" w:rsidP="00D61DE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D61D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▪ розділ ІІ: приміщення, у якому розміщено звичайну виборчу дільницю.</w:t>
      </w:r>
    </w:p>
    <w:p w:rsidR="00885137" w:rsidRDefault="00885137" w:rsidP="00885137">
      <w:pPr>
        <w:pStyle w:val="a4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88513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Приміщення для голосування та приміщення дільничної виборчої комісії (далі – приміщення), які надаються   виборчим комісіям для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забезпечення їх роботи, повинні розміщуватися на першому поверсі в доступних для осіб з інвалідністю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маломобільних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груп населення будівлях і приміщеннях. У разі розташування таких приміщень вище першого поверху вони повинні бути обладнані ліфтом, ескалатором, підйомником тощо, доступними для користування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маломобільних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груп населення.</w:t>
      </w:r>
    </w:p>
    <w:p w:rsidR="00885137" w:rsidRDefault="00885137" w:rsidP="00885137">
      <w:pPr>
        <w:pStyle w:val="a4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Приміщення та будівлі, у яких вони розташовані, повинні відповідати встановленим вимогам санітарних та протипожежних норм, а також будівельних норм та правил щодо доступності будинків і споруд для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маломобільних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груп населення.</w:t>
      </w:r>
    </w:p>
    <w:p w:rsidR="00885137" w:rsidRDefault="00885137" w:rsidP="00885137">
      <w:pPr>
        <w:pStyle w:val="a4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2.3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Усі сходи як на вході в будівлю, так і в середині на шляху до приміщення для голосування та приміщення виборчої комісії повинні бути обладнані поруччям з обох боків та мати контрастне маркування ребра першої та останньої сходинок смугою абразивного матеріалу яскраво-жовтого кольору</w:t>
      </w:r>
      <w:r w:rsidR="000B641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 Горизонтальна площина сходинки маркується смугою завширшки не менше 0.1 м, вертикальна площина сходинки – знизу – смугою завширшки не менше 0.05 м.</w:t>
      </w:r>
    </w:p>
    <w:p w:rsidR="000B6410" w:rsidRDefault="000B6410" w:rsidP="00885137">
      <w:pPr>
        <w:pStyle w:val="a4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2.4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У приміщенні не повинно бути предметів-перепон (горизонтальні та такі, що виступають над поверхнею підлоги, конструкції, бордюри, пороги тощо) на шляхах руху виборців і членів комісії.</w:t>
      </w:r>
    </w:p>
    <w:p w:rsidR="001603AB" w:rsidRDefault="001603AB" w:rsidP="00885137">
      <w:pPr>
        <w:pStyle w:val="a4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У разі наявності на шляху до приміщення  сходів та предметів-перепон при вході у будівлю та всередині сходи повинні бути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продубльовані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пандусом з ухилом не більше 1:12 (8%), обладнані поруччям з обох боків на двох рівнях висотою 70 і 90 см та неслизьким покриттям, або облаштовані підйомником відповідно до ДСТУ</w:t>
      </w:r>
      <w:r w:rsidR="004129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0B6410" w:rsidRDefault="000B6410" w:rsidP="00885137">
      <w:pPr>
        <w:pStyle w:val="a4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2.5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41292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 приміщенні двері повинні бути шириною 90 см та турнікет (у разі наявності) завширшки в просвіті не менше 1.0м  для пропуску осіб на кріслах колісних.</w:t>
      </w:r>
    </w:p>
    <w:p w:rsidR="00412921" w:rsidRDefault="00412921" w:rsidP="00885137">
      <w:pPr>
        <w:pStyle w:val="a4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2.6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Приміщення має бути забезпечене санітарно-гігієнічним приміщенням, доступним для осіб з інвалідністю 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маломобільних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груп населення (універсальні туалетні кабіни загального користування, що мають розміри не менше: ширина - 165 см, глибина - 180 см, ширина дверей у просвіті (чистоті) не менше – 80 см, та обладнані допоміжним поруччям).</w:t>
      </w:r>
    </w:p>
    <w:p w:rsidR="00412921" w:rsidRDefault="00412921" w:rsidP="00885137">
      <w:pPr>
        <w:pStyle w:val="a4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2.7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У приміщенні має бути штучне освітлення відповідно до санітарних норм, з урахуванням критеріїв доступності ос</w:t>
      </w:r>
      <w:r w:rsidR="00525344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обливо в місцях для голосування, місці розміщення офіційних та роз’яснювальних матеріалів виборчої комісії.</w:t>
      </w:r>
    </w:p>
    <w:p w:rsidR="00525344" w:rsidRDefault="00525344" w:rsidP="00885137">
      <w:pPr>
        <w:pStyle w:val="a4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2.8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У приміщенні мають бути в достатній кількості засоби навігації, орієнтування безпеки та отримання інформації (візуальні, тактильні, звукові, голосові за потреби), що відповідають нормативним вимогам.</w:t>
      </w:r>
    </w:p>
    <w:p w:rsidR="00525344" w:rsidRDefault="00525344" w:rsidP="00885137">
      <w:pPr>
        <w:pStyle w:val="a4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2.9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За визначеної потреби на вході/виході до/з будівлі, у якій розміщено виборчу дільницю, повинен бути встановлений/розміщений план-схема (елементи навігації), що сприятиме самостійній навігації (орієнтуванню) на об’єкті. Відповідна схема повинна бути виконана в доступних форматах.</w:t>
      </w:r>
    </w:p>
    <w:p w:rsidR="00525344" w:rsidRDefault="00525344" w:rsidP="00885137">
      <w:pPr>
        <w:pStyle w:val="a4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Для зручності осіб з інвалідністю міжнародним знаком доступності позначаються</w:t>
      </w:r>
      <w:r w:rsidR="000C7E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C7ED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0C7EDA" w:rsidRDefault="000C7EDA" w:rsidP="00885137">
      <w:pPr>
        <w:pStyle w:val="a4"/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743F57D" wp14:editId="552D641F">
            <wp:extent cx="520700" cy="633896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700" cy="6338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C7EDA" w:rsidRDefault="000C7EDA" w:rsidP="000C7ED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шляхи/напрямки, доступні й безпечні для осіб з інвалідністю  та інших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маломобільних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груп населення.</w:t>
      </w:r>
    </w:p>
    <w:p w:rsidR="000C7EDA" w:rsidRDefault="000C7EDA" w:rsidP="000C7ED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 розташування пандуса (як при вході до будівлі, у якій розміщено приміщення для голосування, так і в середині),</w:t>
      </w:r>
    </w:p>
    <w:p w:rsidR="000C7EDA" w:rsidRDefault="000C7EDA" w:rsidP="000C7ED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місце розташування кабіни для таємного голосування, придатної для голосування,</w:t>
      </w:r>
    </w:p>
    <w:p w:rsidR="000C7EDA" w:rsidRDefault="000C7EDA" w:rsidP="000C7ED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місце розташування санітарно-гігієнічного приміщення, доступного для осіб з інвалідністю та інших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маломобільних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груп населення,</w:t>
      </w:r>
    </w:p>
    <w:p w:rsidR="000C7EDA" w:rsidRDefault="000C7EDA" w:rsidP="000C7EDA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напрямок руху до евакуаційних шляхів та виходів, доступних для осіб з інвалідністю та інших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маломобільних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груп населення.</w:t>
      </w:r>
    </w:p>
    <w:p w:rsidR="000C7EDA" w:rsidRPr="00794683" w:rsidRDefault="00794683" w:rsidP="00794683">
      <w:pPr>
        <w:spacing w:after="0" w:line="240" w:lineRule="auto"/>
        <w:ind w:left="705" w:hanging="705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2.11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>У приміщенні та безпосередньо перед ним мають бути облаштовані місця для сидіння виборців, що є зручними для всіх груп населення. Це можуть бути стійкі стільці. Лави тощо, висотою 40-45 см, з поруччям та спинкою. Місця для сидіння мають розташовуватися таким чином, щоб забезпечити достатньо простору (не менше ніж 2.8м) для пересування осіб  і не створити перешкод для евакуації осіб у разі надзвичайної ситуації.</w:t>
      </w:r>
    </w:p>
    <w:p w:rsidR="000C7EDA" w:rsidRDefault="000C7EDA" w:rsidP="000C7E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213DF4" w:rsidRPr="000C7EDA" w:rsidRDefault="00213DF4" w:rsidP="00B75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0" w:name="_GoBack"/>
      <w:bookmarkEnd w:id="0"/>
    </w:p>
    <w:sectPr w:rsidR="00213DF4" w:rsidRPr="000C7EDA" w:rsidSect="00B75B35">
      <w:headerReference w:type="default" r:id="rId9"/>
      <w:footerReference w:type="default" r:id="rId10"/>
      <w:headerReference w:type="first" r:id="rId11"/>
      <w:pgSz w:w="16838" w:h="11906" w:orient="landscape"/>
      <w:pgMar w:top="709" w:right="1134" w:bottom="426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CAD" w:rsidRDefault="00396CAD" w:rsidP="00133011">
      <w:pPr>
        <w:spacing w:after="0" w:line="240" w:lineRule="auto"/>
      </w:pPr>
      <w:r>
        <w:separator/>
      </w:r>
    </w:p>
  </w:endnote>
  <w:endnote w:type="continuationSeparator" w:id="0">
    <w:p w:rsidR="00396CAD" w:rsidRDefault="00396CAD" w:rsidP="0013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7297731"/>
      <w:docPartObj>
        <w:docPartGallery w:val="Page Numbers (Bottom of Page)"/>
        <w:docPartUnique/>
      </w:docPartObj>
    </w:sdtPr>
    <w:sdtEndPr/>
    <w:sdtContent>
      <w:p w:rsidR="00133011" w:rsidRDefault="0013301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36F">
          <w:rPr>
            <w:noProof/>
          </w:rPr>
          <w:t>4</w:t>
        </w:r>
        <w:r>
          <w:fldChar w:fldCharType="end"/>
        </w:r>
      </w:p>
    </w:sdtContent>
  </w:sdt>
  <w:p w:rsidR="00133011" w:rsidRDefault="00133011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CAD" w:rsidRDefault="00396CAD" w:rsidP="00133011">
      <w:pPr>
        <w:spacing w:after="0" w:line="240" w:lineRule="auto"/>
      </w:pPr>
      <w:r>
        <w:separator/>
      </w:r>
    </w:p>
  </w:footnote>
  <w:footnote w:type="continuationSeparator" w:id="0">
    <w:p w:rsidR="00396CAD" w:rsidRDefault="00396CAD" w:rsidP="001330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FC8" w:rsidRDefault="00E45FC8" w:rsidP="00E45FC8">
    <w:pPr>
      <w:pStyle w:val="a7"/>
      <w:jc w:val="right"/>
      <w:rPr>
        <w:rFonts w:ascii="Times New Roman" w:hAnsi="Times New Roman" w:cs="Times New Roman"/>
      </w:rPr>
    </w:pPr>
    <w:proofErr w:type="spellStart"/>
    <w:r w:rsidRPr="00E45FC8">
      <w:rPr>
        <w:rFonts w:ascii="Times New Roman" w:hAnsi="Times New Roman" w:cs="Times New Roman"/>
      </w:rPr>
      <w:t>Продовження</w:t>
    </w:r>
    <w:proofErr w:type="spellEnd"/>
    <w:r w:rsidRPr="00E45FC8">
      <w:rPr>
        <w:rFonts w:ascii="Times New Roman" w:hAnsi="Times New Roman" w:cs="Times New Roman"/>
      </w:rPr>
      <w:t xml:space="preserve"> </w:t>
    </w:r>
    <w:proofErr w:type="spellStart"/>
    <w:r w:rsidRPr="00E45FC8">
      <w:rPr>
        <w:rFonts w:ascii="Times New Roman" w:hAnsi="Times New Roman" w:cs="Times New Roman"/>
      </w:rPr>
      <w:t>додатка</w:t>
    </w:r>
    <w:proofErr w:type="spellEnd"/>
    <w:r w:rsidRPr="00E45FC8">
      <w:rPr>
        <w:rFonts w:ascii="Times New Roman" w:hAnsi="Times New Roman" w:cs="Times New Roman"/>
      </w:rPr>
      <w:t xml:space="preserve"> 2</w:t>
    </w:r>
  </w:p>
  <w:p w:rsidR="00E45FC8" w:rsidRPr="00E45FC8" w:rsidRDefault="00E45FC8" w:rsidP="00E45FC8">
    <w:pPr>
      <w:pStyle w:val="a7"/>
      <w:jc w:val="right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5FC8" w:rsidRDefault="00E45FC8" w:rsidP="00E45FC8">
    <w:pPr>
      <w:autoSpaceDE w:val="0"/>
      <w:autoSpaceDN w:val="0"/>
      <w:spacing w:after="0" w:line="240" w:lineRule="auto"/>
      <w:ind w:left="1410" w:firstLine="6"/>
      <w:jc w:val="right"/>
      <w:rPr>
        <w:rFonts w:ascii="Times New Roman" w:eastAsia="Times New Roman" w:hAnsi="Times New Roman" w:cs="Times New Roman"/>
        <w:sz w:val="24"/>
        <w:szCs w:val="24"/>
        <w:lang w:val="uk-UA" w:eastAsia="ru-RU"/>
      </w:rPr>
    </w:pPr>
    <w:r w:rsidRPr="0040620B">
      <w:rPr>
        <w:rFonts w:ascii="Times New Roman" w:eastAsia="Times New Roman" w:hAnsi="Times New Roman" w:cs="Times New Roman"/>
        <w:sz w:val="24"/>
        <w:szCs w:val="24"/>
        <w:lang w:val="uk-UA" w:eastAsia="ru-RU"/>
      </w:rPr>
      <w:t xml:space="preserve">Додаток </w:t>
    </w:r>
    <w:r>
      <w:rPr>
        <w:rFonts w:ascii="Times New Roman" w:eastAsia="Times New Roman" w:hAnsi="Times New Roman" w:cs="Times New Roman"/>
        <w:sz w:val="24"/>
        <w:szCs w:val="24"/>
        <w:lang w:val="uk-UA" w:eastAsia="ru-RU"/>
      </w:rPr>
      <w:t>2</w:t>
    </w:r>
  </w:p>
  <w:p w:rsidR="00E45FC8" w:rsidRDefault="00E45FC8" w:rsidP="00E45FC8">
    <w:pPr>
      <w:autoSpaceDE w:val="0"/>
      <w:autoSpaceDN w:val="0"/>
      <w:spacing w:after="0" w:line="240" w:lineRule="auto"/>
      <w:ind w:left="1410" w:firstLine="6"/>
      <w:jc w:val="right"/>
      <w:rPr>
        <w:rFonts w:ascii="Times New Roman" w:eastAsia="Times New Roman" w:hAnsi="Times New Roman" w:cs="Times New Roman"/>
        <w:sz w:val="24"/>
        <w:szCs w:val="24"/>
        <w:lang w:val="uk-UA" w:eastAsia="ru-RU"/>
      </w:rPr>
    </w:pPr>
    <w:r>
      <w:rPr>
        <w:rFonts w:ascii="Times New Roman" w:eastAsia="Times New Roman" w:hAnsi="Times New Roman" w:cs="Times New Roman"/>
        <w:sz w:val="24"/>
        <w:szCs w:val="24"/>
        <w:lang w:val="uk-UA" w:eastAsia="ru-RU"/>
      </w:rPr>
      <w:t xml:space="preserve">до протоколу №1 засідання </w:t>
    </w:r>
  </w:p>
  <w:p w:rsidR="00E45FC8" w:rsidRDefault="00E45FC8" w:rsidP="00E45FC8">
    <w:pPr>
      <w:autoSpaceDE w:val="0"/>
      <w:autoSpaceDN w:val="0"/>
      <w:spacing w:after="0" w:line="240" w:lineRule="auto"/>
      <w:ind w:left="1410" w:firstLine="6"/>
      <w:jc w:val="right"/>
      <w:rPr>
        <w:rFonts w:ascii="Times New Roman" w:eastAsia="Times New Roman" w:hAnsi="Times New Roman" w:cs="Times New Roman"/>
        <w:sz w:val="24"/>
        <w:szCs w:val="24"/>
        <w:lang w:val="uk-UA" w:eastAsia="ru-RU"/>
      </w:rPr>
    </w:pPr>
    <w:r>
      <w:rPr>
        <w:rFonts w:ascii="Times New Roman" w:eastAsia="Times New Roman" w:hAnsi="Times New Roman" w:cs="Times New Roman"/>
        <w:sz w:val="24"/>
        <w:szCs w:val="24"/>
        <w:lang w:val="uk-UA" w:eastAsia="ru-RU"/>
      </w:rPr>
      <w:t>Комітету доступності</w:t>
    </w:r>
  </w:p>
  <w:p w:rsidR="00E45FC8" w:rsidRPr="00E45FC8" w:rsidRDefault="00E45FC8" w:rsidP="00E45FC8">
    <w:pPr>
      <w:autoSpaceDE w:val="0"/>
      <w:autoSpaceDN w:val="0"/>
      <w:spacing w:after="0" w:line="240" w:lineRule="auto"/>
      <w:ind w:left="1410" w:firstLine="6"/>
      <w:jc w:val="right"/>
      <w:rPr>
        <w:rFonts w:ascii="Times New Roman" w:eastAsia="Times New Roman" w:hAnsi="Times New Roman" w:cs="Times New Roman"/>
        <w:sz w:val="24"/>
        <w:szCs w:val="24"/>
        <w:lang w:val="uk-UA" w:eastAsia="ru-RU"/>
      </w:rPr>
    </w:pPr>
    <w:r w:rsidRPr="00E45FC8">
      <w:rPr>
        <w:rFonts w:ascii="Times New Roman" w:eastAsia="Times New Roman" w:hAnsi="Times New Roman" w:cs="Times New Roman"/>
        <w:sz w:val="24"/>
        <w:szCs w:val="24"/>
        <w:lang w:val="uk-UA" w:eastAsia="ru-RU"/>
      </w:rPr>
      <w:t>від 20 травня 2021 року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0D8B"/>
    <w:multiLevelType w:val="multilevel"/>
    <w:tmpl w:val="5FB89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5E854F8"/>
    <w:multiLevelType w:val="hybridMultilevel"/>
    <w:tmpl w:val="149E4F38"/>
    <w:lvl w:ilvl="0" w:tplc="0EB0D8B4">
      <w:start w:val="2"/>
      <w:numFmt w:val="bullet"/>
      <w:lvlText w:val="-"/>
      <w:lvlJc w:val="left"/>
      <w:pPr>
        <w:ind w:left="473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2">
    <w:nsid w:val="56C34358"/>
    <w:multiLevelType w:val="hybridMultilevel"/>
    <w:tmpl w:val="BC8007C4"/>
    <w:lvl w:ilvl="0" w:tplc="88385B08">
      <w:start w:val="2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>
    <w:nsid w:val="6C861132"/>
    <w:multiLevelType w:val="multilevel"/>
    <w:tmpl w:val="5FB89CA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4B179B8"/>
    <w:multiLevelType w:val="multilevel"/>
    <w:tmpl w:val="C13CB230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7E8"/>
    <w:rsid w:val="000B0F82"/>
    <w:rsid w:val="000B6410"/>
    <w:rsid w:val="000C7EDA"/>
    <w:rsid w:val="00110997"/>
    <w:rsid w:val="00131FA9"/>
    <w:rsid w:val="00133011"/>
    <w:rsid w:val="001603AB"/>
    <w:rsid w:val="00203A14"/>
    <w:rsid w:val="00213DF4"/>
    <w:rsid w:val="00337094"/>
    <w:rsid w:val="0036136F"/>
    <w:rsid w:val="00374CAD"/>
    <w:rsid w:val="003771A8"/>
    <w:rsid w:val="00396CAD"/>
    <w:rsid w:val="003F17E0"/>
    <w:rsid w:val="00412921"/>
    <w:rsid w:val="004521E8"/>
    <w:rsid w:val="004B77E8"/>
    <w:rsid w:val="004D7886"/>
    <w:rsid w:val="00525344"/>
    <w:rsid w:val="00541F6E"/>
    <w:rsid w:val="00544A45"/>
    <w:rsid w:val="006502BF"/>
    <w:rsid w:val="00794683"/>
    <w:rsid w:val="007B490D"/>
    <w:rsid w:val="00885137"/>
    <w:rsid w:val="008A0A05"/>
    <w:rsid w:val="008A6E70"/>
    <w:rsid w:val="00901592"/>
    <w:rsid w:val="009636D6"/>
    <w:rsid w:val="00A33024"/>
    <w:rsid w:val="00A653AC"/>
    <w:rsid w:val="00B75B35"/>
    <w:rsid w:val="00D61DEC"/>
    <w:rsid w:val="00D710D2"/>
    <w:rsid w:val="00DF288D"/>
    <w:rsid w:val="00E26A59"/>
    <w:rsid w:val="00E319DA"/>
    <w:rsid w:val="00E45FC8"/>
    <w:rsid w:val="00E64C04"/>
    <w:rsid w:val="00F241A7"/>
    <w:rsid w:val="00F57F50"/>
    <w:rsid w:val="00FE6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3A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34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3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3011"/>
  </w:style>
  <w:style w:type="paragraph" w:styleId="a9">
    <w:name w:val="footer"/>
    <w:basedOn w:val="a"/>
    <w:link w:val="aa"/>
    <w:uiPriority w:val="99"/>
    <w:unhideWhenUsed/>
    <w:rsid w:val="0013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3011"/>
  </w:style>
  <w:style w:type="character" w:styleId="ab">
    <w:name w:val="Placeholder Text"/>
    <w:basedOn w:val="a0"/>
    <w:uiPriority w:val="99"/>
    <w:semiHidden/>
    <w:rsid w:val="00374CA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F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1F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03A1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253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25344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13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33011"/>
  </w:style>
  <w:style w:type="paragraph" w:styleId="a9">
    <w:name w:val="footer"/>
    <w:basedOn w:val="a"/>
    <w:link w:val="aa"/>
    <w:uiPriority w:val="99"/>
    <w:unhideWhenUsed/>
    <w:rsid w:val="0013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33011"/>
  </w:style>
  <w:style w:type="character" w:styleId="ab">
    <w:name w:val="Placeholder Text"/>
    <w:basedOn w:val="a0"/>
    <w:uiPriority w:val="99"/>
    <w:semiHidden/>
    <w:rsid w:val="00374CA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4</Pages>
  <Words>1262</Words>
  <Characters>7199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Великородная Юлия Александровна</dc:creator>
  <cp:lastModifiedBy>Великородная Юлия Александровна</cp:lastModifiedBy>
  <cp:revision>10</cp:revision>
  <dcterms:created xsi:type="dcterms:W3CDTF">2021-06-11T12:27:00Z</dcterms:created>
  <dcterms:modified xsi:type="dcterms:W3CDTF">2021-06-23T08:28:00Z</dcterms:modified>
</cp:coreProperties>
</file>